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DE" w:rsidRDefault="004349DE" w:rsidP="004349DE">
      <w:pPr>
        <w:spacing w:after="0"/>
      </w:pPr>
      <w:r w:rsidRPr="00895896">
        <w:rPr>
          <w:noProof/>
        </w:rPr>
        <w:drawing>
          <wp:inline distT="0" distB="0" distL="0" distR="0">
            <wp:extent cx="5943600" cy="2351405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6D66" w:rsidRDefault="004349DE" w:rsidP="004349DE">
      <w:pPr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Figure 1.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9E632F">
        <w:rPr>
          <w:sz w:val="20"/>
          <w:szCs w:val="20"/>
        </w:rPr>
        <w:t>2014 Spring</w:t>
      </w:r>
      <w:r>
        <w:rPr>
          <w:sz w:val="20"/>
          <w:szCs w:val="20"/>
        </w:rPr>
        <w:t xml:space="preserve"> Walleye sampling length frequency distribution.</w:t>
      </w:r>
      <w:proofErr w:type="gramEnd"/>
      <w:r w:rsidRPr="009E632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E632F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9E632F">
        <w:rPr>
          <w:sz w:val="20"/>
          <w:szCs w:val="20"/>
        </w:rPr>
        <w:t xml:space="preserve"> </w:t>
      </w:r>
      <w:r w:rsidRPr="009E632F">
        <w:rPr>
          <w:rFonts w:ascii="Arial" w:hAnsi="Arial" w:cs="Arial"/>
          <w:sz w:val="20"/>
          <w:szCs w:val="20"/>
        </w:rPr>
        <w:t>♀</w:t>
      </w:r>
      <w:r w:rsidRPr="009E632F">
        <w:rPr>
          <w:rFonts w:cs="Arial"/>
          <w:sz w:val="20"/>
          <w:szCs w:val="20"/>
        </w:rPr>
        <w:t xml:space="preserve"> mean length= 56</w:t>
      </w:r>
      <w:r>
        <w:rPr>
          <w:rFonts w:cs="Arial"/>
          <w:sz w:val="20"/>
          <w:szCs w:val="20"/>
        </w:rPr>
        <w:t>4</w:t>
      </w:r>
      <w:r w:rsidRPr="009E632F">
        <w:rPr>
          <w:rFonts w:cs="Arial"/>
          <w:sz w:val="20"/>
          <w:szCs w:val="20"/>
        </w:rPr>
        <w:t xml:space="preserve"> mm, 43 </w:t>
      </w:r>
      <w:r w:rsidRPr="009E632F">
        <w:rPr>
          <w:rFonts w:ascii="Arial" w:hAnsi="Arial" w:cs="Arial"/>
          <w:sz w:val="20"/>
          <w:szCs w:val="20"/>
        </w:rPr>
        <w:t>♂</w:t>
      </w:r>
      <w:r w:rsidRPr="009E632F">
        <w:rPr>
          <w:rFonts w:cs="Arial"/>
          <w:sz w:val="20"/>
          <w:szCs w:val="20"/>
        </w:rPr>
        <w:t xml:space="preserve"> mean length= 480 mm</w:t>
      </w:r>
      <w:r>
        <w:rPr>
          <w:rFonts w:cs="Arial"/>
          <w:sz w:val="20"/>
          <w:szCs w:val="20"/>
        </w:rPr>
        <w:t xml:space="preserve">) </w:t>
      </w:r>
      <w:proofErr w:type="gramStart"/>
      <w:r>
        <w:rPr>
          <w:rFonts w:cs="Arial"/>
          <w:sz w:val="20"/>
          <w:szCs w:val="20"/>
        </w:rPr>
        <w:t>(Approximately 25.4 mm in one inch)</w:t>
      </w:r>
      <w:r w:rsidRPr="009E632F">
        <w:rPr>
          <w:rFonts w:cs="Arial"/>
          <w:sz w:val="20"/>
          <w:szCs w:val="20"/>
        </w:rPr>
        <w:t>.</w:t>
      </w:r>
      <w:proofErr w:type="gramEnd"/>
      <w:r w:rsidRPr="009E632F">
        <w:rPr>
          <w:rFonts w:cs="Arial"/>
          <w:sz w:val="20"/>
          <w:szCs w:val="20"/>
        </w:rPr>
        <w:t xml:space="preserve"> </w:t>
      </w:r>
    </w:p>
    <w:p w:rsidR="004349DE" w:rsidRDefault="004349DE" w:rsidP="004349DE">
      <w:pPr>
        <w:spacing w:after="0"/>
        <w:rPr>
          <w:rFonts w:cs="Arial"/>
          <w:sz w:val="20"/>
          <w:szCs w:val="20"/>
        </w:rPr>
      </w:pPr>
      <w:r w:rsidRPr="009E632F">
        <w:rPr>
          <w:rFonts w:cs="Arial"/>
          <w:b/>
          <w:sz w:val="20"/>
          <w:szCs w:val="20"/>
        </w:rPr>
        <w:t xml:space="preserve">CPUE- </w:t>
      </w:r>
      <w:r w:rsidRPr="003F1A6D">
        <w:rPr>
          <w:rFonts w:cs="Arial"/>
          <w:sz w:val="20"/>
          <w:szCs w:val="20"/>
        </w:rPr>
        <w:t>5.8 fish/night</w:t>
      </w:r>
      <w:r w:rsidRPr="009E632F">
        <w:rPr>
          <w:rFonts w:cs="Arial"/>
          <w:sz w:val="20"/>
          <w:szCs w:val="20"/>
        </w:rPr>
        <w:t xml:space="preserve"> </w:t>
      </w:r>
      <w:r w:rsidRPr="000C4524">
        <w:rPr>
          <w:rFonts w:cs="Arial"/>
          <w:sz w:val="20"/>
          <w:szCs w:val="20"/>
        </w:rPr>
        <w:t>(~</w:t>
      </w:r>
      <w:r>
        <w:rPr>
          <w:rFonts w:cs="Arial"/>
          <w:sz w:val="20"/>
          <w:szCs w:val="20"/>
        </w:rPr>
        <w:t>850</w:t>
      </w:r>
      <w:r w:rsidRPr="000C4524">
        <w:rPr>
          <w:rFonts w:cs="Arial"/>
          <w:sz w:val="20"/>
          <w:szCs w:val="20"/>
        </w:rPr>
        <w:t xml:space="preserve"> sec/fish)</w:t>
      </w:r>
      <w:r>
        <w:rPr>
          <w:rFonts w:cs="Arial"/>
          <w:sz w:val="20"/>
          <w:szCs w:val="20"/>
        </w:rPr>
        <w:t xml:space="preserve">.  Thirty four fish were PIT tagged and released, thirty five were killed for PCB/dioxin/furan sampling, </w:t>
      </w:r>
      <w:proofErr w:type="spellStart"/>
      <w:r>
        <w:rPr>
          <w:rFonts w:cs="Arial"/>
          <w:sz w:val="20"/>
          <w:szCs w:val="20"/>
        </w:rPr>
        <w:t>otolith</w:t>
      </w:r>
      <w:proofErr w:type="spellEnd"/>
      <w:r>
        <w:rPr>
          <w:rFonts w:cs="Arial"/>
          <w:sz w:val="20"/>
          <w:szCs w:val="20"/>
        </w:rPr>
        <w:t xml:space="preserve"> extraction, fecundity estimates, or in most cases, all three.  </w:t>
      </w:r>
      <w:r w:rsidRPr="00786429">
        <w:rPr>
          <w:rFonts w:cs="Times New Roman"/>
          <w:sz w:val="20"/>
          <w:szCs w:val="20"/>
        </w:rPr>
        <w:t>(Preliminary results indicate little to no dioxin/furan contamination in the smaller size classes</w:t>
      </w:r>
      <w:r>
        <w:rPr>
          <w:rFonts w:cs="Times New Roman"/>
          <w:sz w:val="20"/>
          <w:szCs w:val="20"/>
        </w:rPr>
        <w:t xml:space="preserve"> </w:t>
      </w:r>
      <w:r w:rsidRPr="00786429">
        <w:rPr>
          <w:rFonts w:cs="Times New Roman"/>
          <w:sz w:val="20"/>
          <w:szCs w:val="20"/>
        </w:rPr>
        <w:t>of walleye (&lt;2</w:t>
      </w:r>
      <w:r>
        <w:rPr>
          <w:rFonts w:cs="Times New Roman"/>
          <w:sz w:val="20"/>
          <w:szCs w:val="20"/>
        </w:rPr>
        <w:t>6</w:t>
      </w:r>
      <w:r w:rsidRPr="00786429">
        <w:rPr>
          <w:rFonts w:cs="Times New Roman"/>
          <w:sz w:val="20"/>
          <w:szCs w:val="20"/>
        </w:rPr>
        <w:t>”).</w:t>
      </w:r>
      <w:r>
        <w:rPr>
          <w:rFonts w:cs="Times New Roman"/>
          <w:sz w:val="20"/>
          <w:szCs w:val="20"/>
        </w:rPr>
        <w:t xml:space="preserve">  We are still waiting on the results from the 26-30” fish, although the sample size was low.)</w:t>
      </w:r>
    </w:p>
    <w:p w:rsidR="004349DE" w:rsidRDefault="004349DE" w:rsidP="004349DE">
      <w:pPr>
        <w:spacing w:after="0"/>
        <w:rPr>
          <w:rFonts w:cs="Arial"/>
          <w:sz w:val="20"/>
          <w:szCs w:val="20"/>
        </w:rPr>
      </w:pPr>
    </w:p>
    <w:p w:rsidR="004349DE" w:rsidRDefault="004349DE" w:rsidP="004349DE">
      <w:pPr>
        <w:spacing w:after="0"/>
        <w:rPr>
          <w:rFonts w:cs="Arial"/>
          <w:sz w:val="20"/>
          <w:szCs w:val="20"/>
        </w:rPr>
      </w:pPr>
    </w:p>
    <w:p w:rsidR="004349DE" w:rsidRDefault="004349DE" w:rsidP="004349DE">
      <w:pPr>
        <w:spacing w:after="0"/>
        <w:rPr>
          <w:rFonts w:cs="Arial"/>
          <w:sz w:val="20"/>
          <w:szCs w:val="20"/>
        </w:rPr>
      </w:pPr>
      <w:r w:rsidRPr="00003A56">
        <w:rPr>
          <w:rFonts w:cs="Arial"/>
          <w:noProof/>
          <w:sz w:val="20"/>
          <w:szCs w:val="20"/>
        </w:rPr>
        <w:drawing>
          <wp:inline distT="0" distB="0" distL="0" distR="0">
            <wp:extent cx="6029325" cy="356235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49DE" w:rsidRDefault="004349DE" w:rsidP="004349DE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Figure 2.</w:t>
      </w:r>
      <w:proofErr w:type="gramEnd"/>
      <w:r>
        <w:rPr>
          <w:rFonts w:cs="Arial"/>
          <w:sz w:val="20"/>
          <w:szCs w:val="20"/>
        </w:rPr>
        <w:t xml:space="preserve">  F</w:t>
      </w:r>
      <w:r w:rsidRPr="005E529A">
        <w:rPr>
          <w:rFonts w:cs="Arial"/>
          <w:sz w:val="20"/>
          <w:szCs w:val="20"/>
        </w:rPr>
        <w:t>ecundity</w:t>
      </w:r>
      <w:r>
        <w:rPr>
          <w:rFonts w:cs="Arial"/>
          <w:sz w:val="20"/>
          <w:szCs w:val="20"/>
        </w:rPr>
        <w:t xml:space="preserve"> estimates of </w:t>
      </w:r>
      <w:r w:rsidRPr="005E529A">
        <w:rPr>
          <w:rFonts w:cs="Arial"/>
          <w:sz w:val="20"/>
          <w:szCs w:val="20"/>
        </w:rPr>
        <w:t xml:space="preserve">21 </w:t>
      </w:r>
      <w:r w:rsidRPr="005E529A">
        <w:rPr>
          <w:rFonts w:ascii="Arial" w:hAnsi="Arial" w:cs="Arial"/>
          <w:sz w:val="20"/>
          <w:szCs w:val="20"/>
        </w:rPr>
        <w:t>♀</w:t>
      </w:r>
      <w:r w:rsidRPr="005E529A">
        <w:rPr>
          <w:rFonts w:cs="Arial"/>
          <w:sz w:val="20"/>
          <w:szCs w:val="20"/>
        </w:rPr>
        <w:t xml:space="preserve"> ranging in size from </w:t>
      </w:r>
      <w:r>
        <w:rPr>
          <w:rFonts w:cs="Arial"/>
          <w:sz w:val="20"/>
          <w:szCs w:val="20"/>
        </w:rPr>
        <w:t>2.4-10.5 lbs</w:t>
      </w:r>
      <w:r w:rsidRPr="005E529A">
        <w:rPr>
          <w:rFonts w:cs="Arial"/>
          <w:sz w:val="20"/>
          <w:szCs w:val="20"/>
        </w:rPr>
        <w:t>.  Average fecundity ~27,000 eggs/pound (20k-38k)</w:t>
      </w:r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(Approximately 454 g in one pound).</w:t>
      </w:r>
      <w:proofErr w:type="gramEnd"/>
    </w:p>
    <w:p w:rsidR="004349DE" w:rsidRDefault="004349DE" w:rsidP="004349DE">
      <w:pPr>
        <w:rPr>
          <w:rFonts w:cs="Arial"/>
          <w:sz w:val="20"/>
          <w:szCs w:val="20"/>
        </w:rPr>
      </w:pPr>
    </w:p>
    <w:p w:rsidR="004349DE" w:rsidRDefault="004349DE" w:rsidP="002F78E4">
      <w:pPr>
        <w:spacing w:after="0"/>
        <w:rPr>
          <w:sz w:val="20"/>
          <w:szCs w:val="20"/>
        </w:rPr>
      </w:pPr>
      <w:r w:rsidRPr="00830E48">
        <w:rPr>
          <w:rFonts w:cs="Arial"/>
          <w:noProof/>
          <w:sz w:val="20"/>
          <w:szCs w:val="20"/>
        </w:rPr>
        <w:lastRenderedPageBreak/>
        <w:drawing>
          <wp:inline distT="0" distB="0" distL="0" distR="0">
            <wp:extent cx="5943600" cy="2291167"/>
            <wp:effectExtent l="19050" t="0" r="19050" b="0"/>
            <wp:docPr id="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49DE" w:rsidRDefault="004349DE" w:rsidP="004349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Figure 3.</w:t>
      </w:r>
      <w:proofErr w:type="gramEnd"/>
      <w:r>
        <w:rPr>
          <w:sz w:val="20"/>
          <w:szCs w:val="20"/>
        </w:rPr>
        <w:t xml:space="preserve">  Length Frequency distribution of fall caught walleye</w:t>
      </w:r>
      <w:r w:rsidR="00DD6D66">
        <w:rPr>
          <w:sz w:val="20"/>
          <w:szCs w:val="20"/>
        </w:rPr>
        <w:t xml:space="preserve"> in </w:t>
      </w:r>
      <w:proofErr w:type="spellStart"/>
      <w:r w:rsidR="00DD6D66">
        <w:rPr>
          <w:sz w:val="20"/>
          <w:szCs w:val="20"/>
        </w:rPr>
        <w:t>Noxon</w:t>
      </w:r>
      <w:proofErr w:type="spellEnd"/>
      <w:r w:rsidR="00DD6D66">
        <w:rPr>
          <w:sz w:val="20"/>
          <w:szCs w:val="20"/>
        </w:rPr>
        <w:t xml:space="preserve"> Reservoir</w:t>
      </w:r>
      <w:r>
        <w:rPr>
          <w:sz w:val="20"/>
          <w:szCs w:val="20"/>
        </w:rPr>
        <w:t>.  A total of 47 fish were caught, with two being recaptures from spring shocking (i.e., PIT tagged fish).</w:t>
      </w:r>
    </w:p>
    <w:p w:rsidR="00573E6C" w:rsidRPr="009E632F" w:rsidRDefault="007F4C96" w:rsidP="002F78E4">
      <w:pPr>
        <w:spacing w:after="0"/>
        <w:rPr>
          <w:sz w:val="20"/>
          <w:szCs w:val="20"/>
        </w:rPr>
      </w:pPr>
      <w:r w:rsidRPr="007F4C96">
        <w:rPr>
          <w:noProof/>
          <w:sz w:val="20"/>
          <w:szCs w:val="20"/>
        </w:rPr>
        <w:drawing>
          <wp:inline distT="0" distB="0" distL="0" distR="0">
            <wp:extent cx="5943600" cy="404368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57C7" w:rsidRDefault="007B0BA3">
      <w:proofErr w:type="gramStart"/>
      <w:r>
        <w:t>Figure 4.</w:t>
      </w:r>
      <w:proofErr w:type="gramEnd"/>
      <w:r>
        <w:t xml:space="preserve">  Catch per unit effort (mean fish per net night) for walleye </w:t>
      </w:r>
      <w:r w:rsidR="006C4069">
        <w:t>during</w:t>
      </w:r>
      <w:r>
        <w:t xml:space="preserve"> fall gillnet</w:t>
      </w:r>
      <w:r w:rsidR="006C4069">
        <w:t>ting</w:t>
      </w:r>
      <w:r>
        <w:t xml:space="preserve"> in </w:t>
      </w:r>
      <w:proofErr w:type="spellStart"/>
      <w:r>
        <w:t>Noxon</w:t>
      </w:r>
      <w:proofErr w:type="spellEnd"/>
      <w:r>
        <w:t xml:space="preserve"> Reservoir.  Depending on reservoir levels, </w:t>
      </w:r>
      <w:r w:rsidR="00DD7357">
        <w:t>usually</w:t>
      </w:r>
      <w:r>
        <w:t xml:space="preserve"> 29 or 30 nets are set annually.</w:t>
      </w:r>
    </w:p>
    <w:sectPr w:rsidR="00DC57C7" w:rsidSect="00DC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4349DE"/>
    <w:rsid w:val="002F78E4"/>
    <w:rsid w:val="0035615A"/>
    <w:rsid w:val="004349DE"/>
    <w:rsid w:val="00573E6C"/>
    <w:rsid w:val="006C4069"/>
    <w:rsid w:val="007B0BA3"/>
    <w:rsid w:val="007F4C96"/>
    <w:rsid w:val="008E4B56"/>
    <w:rsid w:val="00916486"/>
    <w:rsid w:val="00DC57C7"/>
    <w:rsid w:val="00DD6D66"/>
    <w:rsid w:val="00DD7357"/>
    <w:rsid w:val="00E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F4005\Desktop\Ryan\Reservoir%20Monitoring\Walleye\DATA\2014\Walleye%20sampling%20spring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F4005\Desktop\Ryan\Reservoir%20Monitoring\Walleye\DATA\2014\Walleye%20sampling%20spring%202014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F4005\AppData\Local\Microsoft\Windows\Temporary%20Internet%20Files\Content.Outlook\0LZE3SVS\Gill%20Netting%202014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F4005\AppData\Local\Microsoft\Windows\Temporary%20Internet%20Files\Content.Outlook\0LZE3SVS\Noxon%20Combined%20Mean%20Fish%20per%20Net%20trends%20(3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2014 Spring Walleye</a:t>
            </a:r>
          </a:p>
        </c:rich>
      </c:tx>
      <c:layout>
        <c:manualLayout>
          <c:xMode val="edge"/>
          <c:yMode val="edge"/>
          <c:x val="9.9363589166738694E-2"/>
          <c:y val="6.4814814814814964E-2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7.0725654485496989E-2"/>
          <c:y val="5.1400554097404488E-2"/>
          <c:w val="0.89703967292550002"/>
          <c:h val="0.79170240770943334"/>
        </c:manualLayout>
      </c:layout>
      <c:barChart>
        <c:barDir val="col"/>
        <c:grouping val="clustered"/>
        <c:ser>
          <c:idx val="0"/>
          <c:order val="0"/>
          <c:tx>
            <c:strRef>
              <c:f>Sheet1!$E$1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numRef>
              <c:f>Sheet1!$D$2:$D$59</c:f>
              <c:numCache>
                <c:formatCode>General</c:formatCode>
                <c:ptCount val="58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210</c:v>
                </c:pt>
                <c:pt idx="4">
                  <c:v>220</c:v>
                </c:pt>
                <c:pt idx="5">
                  <c:v>230</c:v>
                </c:pt>
                <c:pt idx="6">
                  <c:v>240</c:v>
                </c:pt>
                <c:pt idx="7">
                  <c:v>250</c:v>
                </c:pt>
                <c:pt idx="8">
                  <c:v>260</c:v>
                </c:pt>
                <c:pt idx="9">
                  <c:v>270</c:v>
                </c:pt>
                <c:pt idx="10">
                  <c:v>280</c:v>
                </c:pt>
                <c:pt idx="11">
                  <c:v>290</c:v>
                </c:pt>
                <c:pt idx="12">
                  <c:v>300</c:v>
                </c:pt>
                <c:pt idx="13">
                  <c:v>310</c:v>
                </c:pt>
                <c:pt idx="14">
                  <c:v>320</c:v>
                </c:pt>
                <c:pt idx="15">
                  <c:v>330</c:v>
                </c:pt>
                <c:pt idx="16">
                  <c:v>340</c:v>
                </c:pt>
                <c:pt idx="17">
                  <c:v>350</c:v>
                </c:pt>
                <c:pt idx="18">
                  <c:v>360</c:v>
                </c:pt>
                <c:pt idx="19">
                  <c:v>370</c:v>
                </c:pt>
                <c:pt idx="20">
                  <c:v>380</c:v>
                </c:pt>
                <c:pt idx="21">
                  <c:v>390</c:v>
                </c:pt>
                <c:pt idx="22">
                  <c:v>400</c:v>
                </c:pt>
                <c:pt idx="23">
                  <c:v>410</c:v>
                </c:pt>
                <c:pt idx="24">
                  <c:v>420</c:v>
                </c:pt>
                <c:pt idx="25">
                  <c:v>430</c:v>
                </c:pt>
                <c:pt idx="26">
                  <c:v>440</c:v>
                </c:pt>
                <c:pt idx="27">
                  <c:v>450</c:v>
                </c:pt>
                <c:pt idx="28">
                  <c:v>460</c:v>
                </c:pt>
                <c:pt idx="29">
                  <c:v>470</c:v>
                </c:pt>
                <c:pt idx="30">
                  <c:v>480</c:v>
                </c:pt>
                <c:pt idx="31">
                  <c:v>490</c:v>
                </c:pt>
                <c:pt idx="32">
                  <c:v>500</c:v>
                </c:pt>
                <c:pt idx="33">
                  <c:v>510</c:v>
                </c:pt>
                <c:pt idx="34">
                  <c:v>520</c:v>
                </c:pt>
                <c:pt idx="35">
                  <c:v>530</c:v>
                </c:pt>
                <c:pt idx="36">
                  <c:v>540</c:v>
                </c:pt>
                <c:pt idx="37">
                  <c:v>550</c:v>
                </c:pt>
                <c:pt idx="38">
                  <c:v>560</c:v>
                </c:pt>
                <c:pt idx="39">
                  <c:v>570</c:v>
                </c:pt>
                <c:pt idx="40">
                  <c:v>580</c:v>
                </c:pt>
                <c:pt idx="41">
                  <c:v>590</c:v>
                </c:pt>
                <c:pt idx="42">
                  <c:v>600</c:v>
                </c:pt>
                <c:pt idx="43">
                  <c:v>610</c:v>
                </c:pt>
                <c:pt idx="44">
                  <c:v>620</c:v>
                </c:pt>
                <c:pt idx="45">
                  <c:v>630</c:v>
                </c:pt>
                <c:pt idx="46">
                  <c:v>640</c:v>
                </c:pt>
                <c:pt idx="47">
                  <c:v>650</c:v>
                </c:pt>
                <c:pt idx="48">
                  <c:v>660</c:v>
                </c:pt>
                <c:pt idx="49">
                  <c:v>670</c:v>
                </c:pt>
                <c:pt idx="50">
                  <c:v>680</c:v>
                </c:pt>
                <c:pt idx="51">
                  <c:v>690</c:v>
                </c:pt>
                <c:pt idx="52">
                  <c:v>700</c:v>
                </c:pt>
                <c:pt idx="53">
                  <c:v>710</c:v>
                </c:pt>
                <c:pt idx="54">
                  <c:v>720</c:v>
                </c:pt>
                <c:pt idx="55">
                  <c:v>730</c:v>
                </c:pt>
                <c:pt idx="56">
                  <c:v>740</c:v>
                </c:pt>
                <c:pt idx="57">
                  <c:v>750</c:v>
                </c:pt>
              </c:numCache>
            </c:numRef>
          </c:cat>
          <c:val>
            <c:numRef>
              <c:f>Sheet1!$E$2:$E$59</c:f>
              <c:numCache>
                <c:formatCode>General</c:formatCode>
                <c:ptCount val="58"/>
                <c:pt idx="15">
                  <c:v>1</c:v>
                </c:pt>
                <c:pt idx="18">
                  <c:v>1</c:v>
                </c:pt>
                <c:pt idx="25">
                  <c:v>1</c:v>
                </c:pt>
                <c:pt idx="26">
                  <c:v>5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3</c:v>
                </c:pt>
                <c:pt idx="31">
                  <c:v>3</c:v>
                </c:pt>
                <c:pt idx="33">
                  <c:v>2</c:v>
                </c:pt>
                <c:pt idx="35">
                  <c:v>2</c:v>
                </c:pt>
                <c:pt idx="36">
                  <c:v>1</c:v>
                </c:pt>
                <c:pt idx="37">
                  <c:v>4</c:v>
                </c:pt>
                <c:pt idx="4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numRef>
              <c:f>Sheet1!$D$2:$D$59</c:f>
              <c:numCache>
                <c:formatCode>General</c:formatCode>
                <c:ptCount val="58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210</c:v>
                </c:pt>
                <c:pt idx="4">
                  <c:v>220</c:v>
                </c:pt>
                <c:pt idx="5">
                  <c:v>230</c:v>
                </c:pt>
                <c:pt idx="6">
                  <c:v>240</c:v>
                </c:pt>
                <c:pt idx="7">
                  <c:v>250</c:v>
                </c:pt>
                <c:pt idx="8">
                  <c:v>260</c:v>
                </c:pt>
                <c:pt idx="9">
                  <c:v>270</c:v>
                </c:pt>
                <c:pt idx="10">
                  <c:v>280</c:v>
                </c:pt>
                <c:pt idx="11">
                  <c:v>290</c:v>
                </c:pt>
                <c:pt idx="12">
                  <c:v>300</c:v>
                </c:pt>
                <c:pt idx="13">
                  <c:v>310</c:v>
                </c:pt>
                <c:pt idx="14">
                  <c:v>320</c:v>
                </c:pt>
                <c:pt idx="15">
                  <c:v>330</c:v>
                </c:pt>
                <c:pt idx="16">
                  <c:v>340</c:v>
                </c:pt>
                <c:pt idx="17">
                  <c:v>350</c:v>
                </c:pt>
                <c:pt idx="18">
                  <c:v>360</c:v>
                </c:pt>
                <c:pt idx="19">
                  <c:v>370</c:v>
                </c:pt>
                <c:pt idx="20">
                  <c:v>380</c:v>
                </c:pt>
                <c:pt idx="21">
                  <c:v>390</c:v>
                </c:pt>
                <c:pt idx="22">
                  <c:v>400</c:v>
                </c:pt>
                <c:pt idx="23">
                  <c:v>410</c:v>
                </c:pt>
                <c:pt idx="24">
                  <c:v>420</c:v>
                </c:pt>
                <c:pt idx="25">
                  <c:v>430</c:v>
                </c:pt>
                <c:pt idx="26">
                  <c:v>440</c:v>
                </c:pt>
                <c:pt idx="27">
                  <c:v>450</c:v>
                </c:pt>
                <c:pt idx="28">
                  <c:v>460</c:v>
                </c:pt>
                <c:pt idx="29">
                  <c:v>470</c:v>
                </c:pt>
                <c:pt idx="30">
                  <c:v>480</c:v>
                </c:pt>
                <c:pt idx="31">
                  <c:v>490</c:v>
                </c:pt>
                <c:pt idx="32">
                  <c:v>500</c:v>
                </c:pt>
                <c:pt idx="33">
                  <c:v>510</c:v>
                </c:pt>
                <c:pt idx="34">
                  <c:v>520</c:v>
                </c:pt>
                <c:pt idx="35">
                  <c:v>530</c:v>
                </c:pt>
                <c:pt idx="36">
                  <c:v>540</c:v>
                </c:pt>
                <c:pt idx="37">
                  <c:v>550</c:v>
                </c:pt>
                <c:pt idx="38">
                  <c:v>560</c:v>
                </c:pt>
                <c:pt idx="39">
                  <c:v>570</c:v>
                </c:pt>
                <c:pt idx="40">
                  <c:v>580</c:v>
                </c:pt>
                <c:pt idx="41">
                  <c:v>590</c:v>
                </c:pt>
                <c:pt idx="42">
                  <c:v>600</c:v>
                </c:pt>
                <c:pt idx="43">
                  <c:v>610</c:v>
                </c:pt>
                <c:pt idx="44">
                  <c:v>620</c:v>
                </c:pt>
                <c:pt idx="45">
                  <c:v>630</c:v>
                </c:pt>
                <c:pt idx="46">
                  <c:v>640</c:v>
                </c:pt>
                <c:pt idx="47">
                  <c:v>650</c:v>
                </c:pt>
                <c:pt idx="48">
                  <c:v>660</c:v>
                </c:pt>
                <c:pt idx="49">
                  <c:v>670</c:v>
                </c:pt>
                <c:pt idx="50">
                  <c:v>680</c:v>
                </c:pt>
                <c:pt idx="51">
                  <c:v>690</c:v>
                </c:pt>
                <c:pt idx="52">
                  <c:v>700</c:v>
                </c:pt>
                <c:pt idx="53">
                  <c:v>710</c:v>
                </c:pt>
                <c:pt idx="54">
                  <c:v>720</c:v>
                </c:pt>
                <c:pt idx="55">
                  <c:v>730</c:v>
                </c:pt>
                <c:pt idx="56">
                  <c:v>740</c:v>
                </c:pt>
                <c:pt idx="57">
                  <c:v>750</c:v>
                </c:pt>
              </c:numCache>
            </c:numRef>
          </c:cat>
          <c:val>
            <c:numRef>
              <c:f>Sheet1!$F$2:$F$59</c:f>
              <c:numCache>
                <c:formatCode>General</c:formatCode>
                <c:ptCount val="58"/>
                <c:pt idx="28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3</c:v>
                </c:pt>
                <c:pt idx="33">
                  <c:v>3</c:v>
                </c:pt>
                <c:pt idx="36">
                  <c:v>1</c:v>
                </c:pt>
                <c:pt idx="37">
                  <c:v>4</c:v>
                </c:pt>
                <c:pt idx="38">
                  <c:v>2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1</c:v>
                </c:pt>
                <c:pt idx="46">
                  <c:v>1</c:v>
                </c:pt>
                <c:pt idx="49">
                  <c:v>1</c:v>
                </c:pt>
                <c:pt idx="57">
                  <c:v>1</c:v>
                </c:pt>
              </c:numCache>
            </c:numRef>
          </c:val>
        </c:ser>
        <c:gapWidth val="40"/>
        <c:overlap val="100"/>
        <c:axId val="38917248"/>
        <c:axId val="38918784"/>
      </c:barChart>
      <c:catAx>
        <c:axId val="38917248"/>
        <c:scaling>
          <c:orientation val="minMax"/>
        </c:scaling>
        <c:axPos val="b"/>
        <c:numFmt formatCode="General" sourceLinked="1"/>
        <c:tickLblPos val="nextTo"/>
        <c:txPr>
          <a:bodyPr rot="-4560000"/>
          <a:lstStyle/>
          <a:p>
            <a:pPr>
              <a:defRPr/>
            </a:pPr>
            <a:endParaRPr lang="en-US"/>
          </a:p>
        </c:txPr>
        <c:crossAx val="38918784"/>
        <c:crosses val="autoZero"/>
        <c:auto val="1"/>
        <c:lblAlgn val="ctr"/>
        <c:lblOffset val="100"/>
      </c:catAx>
      <c:valAx>
        <c:axId val="38918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captured</a:t>
                </a:r>
              </a:p>
            </c:rich>
          </c:tx>
        </c:title>
        <c:numFmt formatCode="General" sourceLinked="1"/>
        <c:tickLblPos val="nextTo"/>
        <c:crossAx val="3891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32086614173356"/>
          <c:y val="0.18017169728783902"/>
          <c:w val="0.15159549767817496"/>
          <c:h val="0.1674343832021003"/>
        </c:manualLayout>
      </c:layout>
      <c:spPr>
        <a:solidFill>
          <a:sysClr val="window" lastClr="FFFFFF"/>
        </a:solidFill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2014 Walleye Fecundity</a:t>
            </a:r>
          </a:p>
        </c:rich>
      </c:tx>
    </c:title>
    <c:plotArea>
      <c:layout>
        <c:manualLayout>
          <c:layoutTarget val="inner"/>
          <c:xMode val="edge"/>
          <c:yMode val="edge"/>
          <c:x val="0.15805796150481191"/>
          <c:y val="0.12535906969962088"/>
          <c:w val="0.79711570428696021"/>
          <c:h val="0.73426867096158732"/>
        </c:manualLayout>
      </c:layout>
      <c:scatterChart>
        <c:scatterStyle val="lineMarker"/>
        <c:ser>
          <c:idx val="0"/>
          <c:order val="0"/>
          <c:tx>
            <c:strRef>
              <c:f>fecundity!$M$1</c:f>
              <c:strCache>
                <c:ptCount val="1"/>
                <c:pt idx="0">
                  <c:v>total eggs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37172944737507196"/>
                  <c:y val="4.0125759681109104E-2"/>
                </c:manualLayout>
              </c:layout>
              <c:numFmt formatCode="General" sourceLinked="0"/>
            </c:trendlineLbl>
          </c:trendline>
          <c:xVal>
            <c:numRef>
              <c:f>fecundity!$L$2:$L$22</c:f>
              <c:numCache>
                <c:formatCode>General</c:formatCode>
                <c:ptCount val="21"/>
                <c:pt idx="0">
                  <c:v>1107</c:v>
                </c:pt>
                <c:pt idx="1">
                  <c:v>1180</c:v>
                </c:pt>
                <c:pt idx="2">
                  <c:v>1222</c:v>
                </c:pt>
                <c:pt idx="3">
                  <c:v>1235</c:v>
                </c:pt>
                <c:pt idx="4">
                  <c:v>1345</c:v>
                </c:pt>
                <c:pt idx="5">
                  <c:v>1372</c:v>
                </c:pt>
                <c:pt idx="6">
                  <c:v>1450</c:v>
                </c:pt>
                <c:pt idx="7">
                  <c:v>1625</c:v>
                </c:pt>
                <c:pt idx="8">
                  <c:v>1628</c:v>
                </c:pt>
                <c:pt idx="9">
                  <c:v>1854</c:v>
                </c:pt>
                <c:pt idx="10">
                  <c:v>1935</c:v>
                </c:pt>
                <c:pt idx="11">
                  <c:v>1936</c:v>
                </c:pt>
                <c:pt idx="12">
                  <c:v>2046</c:v>
                </c:pt>
                <c:pt idx="13">
                  <c:v>2179</c:v>
                </c:pt>
                <c:pt idx="14">
                  <c:v>2573</c:v>
                </c:pt>
                <c:pt idx="15">
                  <c:v>2920</c:v>
                </c:pt>
                <c:pt idx="16">
                  <c:v>2957</c:v>
                </c:pt>
                <c:pt idx="17">
                  <c:v>3020</c:v>
                </c:pt>
                <c:pt idx="18">
                  <c:v>3021</c:v>
                </c:pt>
                <c:pt idx="19">
                  <c:v>3380</c:v>
                </c:pt>
                <c:pt idx="20">
                  <c:v>4786</c:v>
                </c:pt>
              </c:numCache>
            </c:numRef>
          </c:xVal>
          <c:yVal>
            <c:numRef>
              <c:f>fecundity!$M$2:$M$22</c:f>
              <c:numCache>
                <c:formatCode>#,##0</c:formatCode>
                <c:ptCount val="21"/>
                <c:pt idx="0">
                  <c:v>63608.9</c:v>
                </c:pt>
                <c:pt idx="1">
                  <c:v>71027</c:v>
                </c:pt>
                <c:pt idx="2">
                  <c:v>83422.5</c:v>
                </c:pt>
                <c:pt idx="3">
                  <c:v>66170.8</c:v>
                </c:pt>
                <c:pt idx="4">
                  <c:v>82522</c:v>
                </c:pt>
                <c:pt idx="5">
                  <c:v>79247.700000000012</c:v>
                </c:pt>
                <c:pt idx="6">
                  <c:v>94091</c:v>
                </c:pt>
                <c:pt idx="7">
                  <c:v>111597.8</c:v>
                </c:pt>
                <c:pt idx="8">
                  <c:v>71775.599999999991</c:v>
                </c:pt>
                <c:pt idx="9">
                  <c:v>118625</c:v>
                </c:pt>
                <c:pt idx="10">
                  <c:v>93030</c:v>
                </c:pt>
                <c:pt idx="11">
                  <c:v>142814.80000000002</c:v>
                </c:pt>
                <c:pt idx="12">
                  <c:v>98901</c:v>
                </c:pt>
                <c:pt idx="13">
                  <c:v>123477.00000000001</c:v>
                </c:pt>
                <c:pt idx="14">
                  <c:v>128758</c:v>
                </c:pt>
                <c:pt idx="15">
                  <c:v>181651</c:v>
                </c:pt>
                <c:pt idx="16">
                  <c:v>150050.20000000001</c:v>
                </c:pt>
                <c:pt idx="17">
                  <c:v>144698.4</c:v>
                </c:pt>
                <c:pt idx="18">
                  <c:v>197600.4</c:v>
                </c:pt>
                <c:pt idx="19">
                  <c:v>190268</c:v>
                </c:pt>
                <c:pt idx="20">
                  <c:v>405726.2</c:v>
                </c:pt>
              </c:numCache>
            </c:numRef>
          </c:yVal>
        </c:ser>
        <c:axId val="38964224"/>
        <c:axId val="38982784"/>
      </c:scatterChart>
      <c:valAx>
        <c:axId val="38964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Fish Weight (g)</a:t>
                </a:r>
              </a:p>
            </c:rich>
          </c:tx>
          <c:layout>
            <c:manualLayout>
              <c:xMode val="edge"/>
              <c:yMode val="edge"/>
              <c:x val="0.48777562922512885"/>
              <c:y val="0.93460721153171677"/>
            </c:manualLayout>
          </c:layout>
        </c:title>
        <c:numFmt formatCode="General" sourceLinked="1"/>
        <c:tickLblPos val="nextTo"/>
        <c:crossAx val="38982784"/>
        <c:crosses val="autoZero"/>
        <c:crossBetween val="midCat"/>
      </c:valAx>
      <c:valAx>
        <c:axId val="38982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Eggs</a:t>
                </a:r>
              </a:p>
            </c:rich>
          </c:tx>
          <c:layout>
            <c:manualLayout>
              <c:xMode val="edge"/>
              <c:yMode val="edge"/>
              <c:x val="1.7150510214659197E-2"/>
              <c:y val="0.40730613218802197"/>
            </c:manualLayout>
          </c:layout>
        </c:title>
        <c:numFmt formatCode="#,##0" sourceLinked="1"/>
        <c:tickLblPos val="nextTo"/>
        <c:crossAx val="38964224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2014 Fall Walleye</a:t>
            </a:r>
          </a:p>
        </c:rich>
      </c:tx>
      <c:layout>
        <c:manualLayout>
          <c:xMode val="edge"/>
          <c:yMode val="edge"/>
          <c:x val="0.16427670491421825"/>
          <c:y val="9.6826250672404524E-2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7.1592805706978943E-2"/>
          <c:y val="5.1400554097404488E-2"/>
          <c:w val="0.92134649034255334"/>
          <c:h val="0.81648206427128256"/>
        </c:manualLayout>
      </c:layout>
      <c:barChart>
        <c:barDir val="col"/>
        <c:grouping val="stacked"/>
        <c:ser>
          <c:idx val="1"/>
          <c:order val="0"/>
          <c:tx>
            <c:strRef>
              <c:f>Sheet1!$G$1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numRef>
              <c:f>Sheet1!$F$2:$F$58</c:f>
              <c:numCache>
                <c:formatCode>General</c:formatCode>
                <c:ptCount val="57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210</c:v>
                </c:pt>
                <c:pt idx="4">
                  <c:v>220</c:v>
                </c:pt>
                <c:pt idx="5">
                  <c:v>230</c:v>
                </c:pt>
                <c:pt idx="6">
                  <c:v>240</c:v>
                </c:pt>
                <c:pt idx="7">
                  <c:v>250</c:v>
                </c:pt>
                <c:pt idx="8">
                  <c:v>260</c:v>
                </c:pt>
                <c:pt idx="9">
                  <c:v>270</c:v>
                </c:pt>
                <c:pt idx="10">
                  <c:v>280</c:v>
                </c:pt>
                <c:pt idx="11">
                  <c:v>290</c:v>
                </c:pt>
                <c:pt idx="12">
                  <c:v>300</c:v>
                </c:pt>
                <c:pt idx="13">
                  <c:v>310</c:v>
                </c:pt>
                <c:pt idx="14">
                  <c:v>320</c:v>
                </c:pt>
                <c:pt idx="15">
                  <c:v>330</c:v>
                </c:pt>
                <c:pt idx="16">
                  <c:v>340</c:v>
                </c:pt>
                <c:pt idx="17">
                  <c:v>350</c:v>
                </c:pt>
                <c:pt idx="18">
                  <c:v>360</c:v>
                </c:pt>
                <c:pt idx="19">
                  <c:v>370</c:v>
                </c:pt>
                <c:pt idx="20">
                  <c:v>380</c:v>
                </c:pt>
                <c:pt idx="21">
                  <c:v>390</c:v>
                </c:pt>
                <c:pt idx="22">
                  <c:v>400</c:v>
                </c:pt>
                <c:pt idx="23">
                  <c:v>410</c:v>
                </c:pt>
                <c:pt idx="24">
                  <c:v>420</c:v>
                </c:pt>
                <c:pt idx="25">
                  <c:v>430</c:v>
                </c:pt>
                <c:pt idx="26">
                  <c:v>440</c:v>
                </c:pt>
                <c:pt idx="27">
                  <c:v>450</c:v>
                </c:pt>
                <c:pt idx="28">
                  <c:v>460</c:v>
                </c:pt>
                <c:pt idx="29">
                  <c:v>470</c:v>
                </c:pt>
                <c:pt idx="30">
                  <c:v>480</c:v>
                </c:pt>
                <c:pt idx="31">
                  <c:v>490</c:v>
                </c:pt>
                <c:pt idx="32">
                  <c:v>500</c:v>
                </c:pt>
                <c:pt idx="33">
                  <c:v>510</c:v>
                </c:pt>
                <c:pt idx="34">
                  <c:v>520</c:v>
                </c:pt>
                <c:pt idx="35">
                  <c:v>530</c:v>
                </c:pt>
                <c:pt idx="36">
                  <c:v>540</c:v>
                </c:pt>
                <c:pt idx="37">
                  <c:v>550</c:v>
                </c:pt>
                <c:pt idx="38">
                  <c:v>560</c:v>
                </c:pt>
                <c:pt idx="39">
                  <c:v>570</c:v>
                </c:pt>
                <c:pt idx="40">
                  <c:v>580</c:v>
                </c:pt>
                <c:pt idx="41">
                  <c:v>590</c:v>
                </c:pt>
                <c:pt idx="42">
                  <c:v>600</c:v>
                </c:pt>
                <c:pt idx="43">
                  <c:v>610</c:v>
                </c:pt>
                <c:pt idx="44">
                  <c:v>620</c:v>
                </c:pt>
                <c:pt idx="45">
                  <c:v>630</c:v>
                </c:pt>
                <c:pt idx="46">
                  <c:v>640</c:v>
                </c:pt>
                <c:pt idx="47">
                  <c:v>650</c:v>
                </c:pt>
                <c:pt idx="48">
                  <c:v>660</c:v>
                </c:pt>
                <c:pt idx="49">
                  <c:v>670</c:v>
                </c:pt>
                <c:pt idx="50">
                  <c:v>680</c:v>
                </c:pt>
                <c:pt idx="51">
                  <c:v>690</c:v>
                </c:pt>
                <c:pt idx="52">
                  <c:v>700</c:v>
                </c:pt>
                <c:pt idx="53">
                  <c:v>710</c:v>
                </c:pt>
                <c:pt idx="54">
                  <c:v>720</c:v>
                </c:pt>
                <c:pt idx="55">
                  <c:v>730</c:v>
                </c:pt>
                <c:pt idx="56">
                  <c:v>740</c:v>
                </c:pt>
              </c:numCache>
            </c:numRef>
          </c:cat>
          <c:val>
            <c:numRef>
              <c:f>Sheet1!$G$2:$G$58</c:f>
              <c:numCache>
                <c:formatCode>General</c:formatCode>
                <c:ptCount val="57"/>
                <c:pt idx="7">
                  <c:v>1</c:v>
                </c:pt>
                <c:pt idx="9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21">
                  <c:v>1</c:v>
                </c:pt>
                <c:pt idx="24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Sheet1!$H$1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numRef>
              <c:f>Sheet1!$F$2:$F$58</c:f>
              <c:numCache>
                <c:formatCode>General</c:formatCode>
                <c:ptCount val="57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210</c:v>
                </c:pt>
                <c:pt idx="4">
                  <c:v>220</c:v>
                </c:pt>
                <c:pt idx="5">
                  <c:v>230</c:v>
                </c:pt>
                <c:pt idx="6">
                  <c:v>240</c:v>
                </c:pt>
                <c:pt idx="7">
                  <c:v>250</c:v>
                </c:pt>
                <c:pt idx="8">
                  <c:v>260</c:v>
                </c:pt>
                <c:pt idx="9">
                  <c:v>270</c:v>
                </c:pt>
                <c:pt idx="10">
                  <c:v>280</c:v>
                </c:pt>
                <c:pt idx="11">
                  <c:v>290</c:v>
                </c:pt>
                <c:pt idx="12">
                  <c:v>300</c:v>
                </c:pt>
                <c:pt idx="13">
                  <c:v>310</c:v>
                </c:pt>
                <c:pt idx="14">
                  <c:v>320</c:v>
                </c:pt>
                <c:pt idx="15">
                  <c:v>330</c:v>
                </c:pt>
                <c:pt idx="16">
                  <c:v>340</c:v>
                </c:pt>
                <c:pt idx="17">
                  <c:v>350</c:v>
                </c:pt>
                <c:pt idx="18">
                  <c:v>360</c:v>
                </c:pt>
                <c:pt idx="19">
                  <c:v>370</c:v>
                </c:pt>
                <c:pt idx="20">
                  <c:v>380</c:v>
                </c:pt>
                <c:pt idx="21">
                  <c:v>390</c:v>
                </c:pt>
                <c:pt idx="22">
                  <c:v>400</c:v>
                </c:pt>
                <c:pt idx="23">
                  <c:v>410</c:v>
                </c:pt>
                <c:pt idx="24">
                  <c:v>420</c:v>
                </c:pt>
                <c:pt idx="25">
                  <c:v>430</c:v>
                </c:pt>
                <c:pt idx="26">
                  <c:v>440</c:v>
                </c:pt>
                <c:pt idx="27">
                  <c:v>450</c:v>
                </c:pt>
                <c:pt idx="28">
                  <c:v>460</c:v>
                </c:pt>
                <c:pt idx="29">
                  <c:v>470</c:v>
                </c:pt>
                <c:pt idx="30">
                  <c:v>480</c:v>
                </c:pt>
                <c:pt idx="31">
                  <c:v>490</c:v>
                </c:pt>
                <c:pt idx="32">
                  <c:v>500</c:v>
                </c:pt>
                <c:pt idx="33">
                  <c:v>510</c:v>
                </c:pt>
                <c:pt idx="34">
                  <c:v>520</c:v>
                </c:pt>
                <c:pt idx="35">
                  <c:v>530</c:v>
                </c:pt>
                <c:pt idx="36">
                  <c:v>540</c:v>
                </c:pt>
                <c:pt idx="37">
                  <c:v>550</c:v>
                </c:pt>
                <c:pt idx="38">
                  <c:v>560</c:v>
                </c:pt>
                <c:pt idx="39">
                  <c:v>570</c:v>
                </c:pt>
                <c:pt idx="40">
                  <c:v>580</c:v>
                </c:pt>
                <c:pt idx="41">
                  <c:v>590</c:v>
                </c:pt>
                <c:pt idx="42">
                  <c:v>600</c:v>
                </c:pt>
                <c:pt idx="43">
                  <c:v>610</c:v>
                </c:pt>
                <c:pt idx="44">
                  <c:v>620</c:v>
                </c:pt>
                <c:pt idx="45">
                  <c:v>630</c:v>
                </c:pt>
                <c:pt idx="46">
                  <c:v>640</c:v>
                </c:pt>
                <c:pt idx="47">
                  <c:v>650</c:v>
                </c:pt>
                <c:pt idx="48">
                  <c:v>660</c:v>
                </c:pt>
                <c:pt idx="49">
                  <c:v>670</c:v>
                </c:pt>
                <c:pt idx="50">
                  <c:v>680</c:v>
                </c:pt>
                <c:pt idx="51">
                  <c:v>690</c:v>
                </c:pt>
                <c:pt idx="52">
                  <c:v>700</c:v>
                </c:pt>
                <c:pt idx="53">
                  <c:v>710</c:v>
                </c:pt>
                <c:pt idx="54">
                  <c:v>720</c:v>
                </c:pt>
                <c:pt idx="55">
                  <c:v>730</c:v>
                </c:pt>
                <c:pt idx="56">
                  <c:v>740</c:v>
                </c:pt>
              </c:numCache>
            </c:numRef>
          </c:cat>
          <c:val>
            <c:numRef>
              <c:f>Sheet1!$H$2:$H$58</c:f>
              <c:numCache>
                <c:formatCode>General</c:formatCode>
                <c:ptCount val="57"/>
                <c:pt idx="17">
                  <c:v>1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  <c:pt idx="31">
                  <c:v>4</c:v>
                </c:pt>
                <c:pt idx="33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40">
                  <c:v>1</c:v>
                </c:pt>
                <c:pt idx="51">
                  <c:v>1</c:v>
                </c:pt>
              </c:numCache>
            </c:numRef>
          </c:val>
        </c:ser>
        <c:ser>
          <c:idx val="3"/>
          <c:order val="2"/>
          <c:tx>
            <c:strRef>
              <c:f>Sheet1!$I$1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prstClr val="white">
                <a:lumMod val="65000"/>
              </a:prstClr>
            </a:solidFill>
            <a:ln>
              <a:solidFill>
                <a:prstClr val="black"/>
              </a:solidFill>
            </a:ln>
          </c:spPr>
          <c:cat>
            <c:numRef>
              <c:f>Sheet1!$F$2:$F$58</c:f>
              <c:numCache>
                <c:formatCode>General</c:formatCode>
                <c:ptCount val="57"/>
                <c:pt idx="0">
                  <c:v>180</c:v>
                </c:pt>
                <c:pt idx="1">
                  <c:v>190</c:v>
                </c:pt>
                <c:pt idx="2">
                  <c:v>200</c:v>
                </c:pt>
                <c:pt idx="3">
                  <c:v>210</c:v>
                </c:pt>
                <c:pt idx="4">
                  <c:v>220</c:v>
                </c:pt>
                <c:pt idx="5">
                  <c:v>230</c:v>
                </c:pt>
                <c:pt idx="6">
                  <c:v>240</c:v>
                </c:pt>
                <c:pt idx="7">
                  <c:v>250</c:v>
                </c:pt>
                <c:pt idx="8">
                  <c:v>260</c:v>
                </c:pt>
                <c:pt idx="9">
                  <c:v>270</c:v>
                </c:pt>
                <c:pt idx="10">
                  <c:v>280</c:v>
                </c:pt>
                <c:pt idx="11">
                  <c:v>290</c:v>
                </c:pt>
                <c:pt idx="12">
                  <c:v>300</c:v>
                </c:pt>
                <c:pt idx="13">
                  <c:v>310</c:v>
                </c:pt>
                <c:pt idx="14">
                  <c:v>320</c:v>
                </c:pt>
                <c:pt idx="15">
                  <c:v>330</c:v>
                </c:pt>
                <c:pt idx="16">
                  <c:v>340</c:v>
                </c:pt>
                <c:pt idx="17">
                  <c:v>350</c:v>
                </c:pt>
                <c:pt idx="18">
                  <c:v>360</c:v>
                </c:pt>
                <c:pt idx="19">
                  <c:v>370</c:v>
                </c:pt>
                <c:pt idx="20">
                  <c:v>380</c:v>
                </c:pt>
                <c:pt idx="21">
                  <c:v>390</c:v>
                </c:pt>
                <c:pt idx="22">
                  <c:v>400</c:v>
                </c:pt>
                <c:pt idx="23">
                  <c:v>410</c:v>
                </c:pt>
                <c:pt idx="24">
                  <c:v>420</c:v>
                </c:pt>
                <c:pt idx="25">
                  <c:v>430</c:v>
                </c:pt>
                <c:pt idx="26">
                  <c:v>440</c:v>
                </c:pt>
                <c:pt idx="27">
                  <c:v>450</c:v>
                </c:pt>
                <c:pt idx="28">
                  <c:v>460</c:v>
                </c:pt>
                <c:pt idx="29">
                  <c:v>470</c:v>
                </c:pt>
                <c:pt idx="30">
                  <c:v>480</c:v>
                </c:pt>
                <c:pt idx="31">
                  <c:v>490</c:v>
                </c:pt>
                <c:pt idx="32">
                  <c:v>500</c:v>
                </c:pt>
                <c:pt idx="33">
                  <c:v>510</c:v>
                </c:pt>
                <c:pt idx="34">
                  <c:v>520</c:v>
                </c:pt>
                <c:pt idx="35">
                  <c:v>530</c:v>
                </c:pt>
                <c:pt idx="36">
                  <c:v>540</c:v>
                </c:pt>
                <c:pt idx="37">
                  <c:v>550</c:v>
                </c:pt>
                <c:pt idx="38">
                  <c:v>560</c:v>
                </c:pt>
                <c:pt idx="39">
                  <c:v>570</c:v>
                </c:pt>
                <c:pt idx="40">
                  <c:v>580</c:v>
                </c:pt>
                <c:pt idx="41">
                  <c:v>590</c:v>
                </c:pt>
                <c:pt idx="42">
                  <c:v>600</c:v>
                </c:pt>
                <c:pt idx="43">
                  <c:v>610</c:v>
                </c:pt>
                <c:pt idx="44">
                  <c:v>620</c:v>
                </c:pt>
                <c:pt idx="45">
                  <c:v>630</c:v>
                </c:pt>
                <c:pt idx="46">
                  <c:v>640</c:v>
                </c:pt>
                <c:pt idx="47">
                  <c:v>650</c:v>
                </c:pt>
                <c:pt idx="48">
                  <c:v>660</c:v>
                </c:pt>
                <c:pt idx="49">
                  <c:v>670</c:v>
                </c:pt>
                <c:pt idx="50">
                  <c:v>680</c:v>
                </c:pt>
                <c:pt idx="51">
                  <c:v>690</c:v>
                </c:pt>
                <c:pt idx="52">
                  <c:v>700</c:v>
                </c:pt>
                <c:pt idx="53">
                  <c:v>710</c:v>
                </c:pt>
                <c:pt idx="54">
                  <c:v>720</c:v>
                </c:pt>
                <c:pt idx="55">
                  <c:v>730</c:v>
                </c:pt>
                <c:pt idx="56">
                  <c:v>740</c:v>
                </c:pt>
              </c:numCache>
            </c:numRef>
          </c:cat>
          <c:val>
            <c:numRef>
              <c:f>Sheet1!$I$2:$I$58</c:f>
              <c:numCache>
                <c:formatCode>General</c:formatCode>
                <c:ptCount val="57"/>
                <c:pt idx="12">
                  <c:v>1</c:v>
                </c:pt>
                <c:pt idx="22">
                  <c:v>1</c:v>
                </c:pt>
                <c:pt idx="24">
                  <c:v>1</c:v>
                </c:pt>
                <c:pt idx="25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9">
                  <c:v>1</c:v>
                </c:pt>
                <c:pt idx="46">
                  <c:v>1</c:v>
                </c:pt>
                <c:pt idx="50">
                  <c:v>1</c:v>
                </c:pt>
              </c:numCache>
            </c:numRef>
          </c:val>
        </c:ser>
        <c:gapWidth val="40"/>
        <c:overlap val="100"/>
        <c:axId val="39025280"/>
        <c:axId val="61292928"/>
      </c:barChart>
      <c:catAx>
        <c:axId val="39025280"/>
        <c:scaling>
          <c:orientation val="minMax"/>
        </c:scaling>
        <c:axPos val="b"/>
        <c:numFmt formatCode="General" sourceLinked="1"/>
        <c:tickLblPos val="nextTo"/>
        <c:txPr>
          <a:bodyPr rot="-5400000"/>
          <a:lstStyle/>
          <a:p>
            <a:pPr>
              <a:defRPr/>
            </a:pPr>
            <a:endParaRPr lang="en-US"/>
          </a:p>
        </c:txPr>
        <c:crossAx val="61292928"/>
        <c:crosses val="autoZero"/>
        <c:auto val="1"/>
        <c:lblAlgn val="ctr"/>
        <c:lblOffset val="100"/>
      </c:catAx>
      <c:valAx>
        <c:axId val="61292928"/>
        <c:scaling>
          <c:orientation val="minMax"/>
          <c:max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Captured</a:t>
                </a:r>
              </a:p>
            </c:rich>
          </c:tx>
        </c:title>
        <c:numFmt formatCode="General" sourceLinked="1"/>
        <c:tickLblPos val="nextTo"/>
        <c:crossAx val="39025280"/>
        <c:crosses val="autoZero"/>
        <c:crossBetween val="between"/>
        <c:majorUnit val="1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67784864391951383"/>
          <c:y val="6.8868474773986582E-2"/>
          <c:w val="0.18881802274715709"/>
          <c:h val="0.25115157480314959"/>
        </c:manualLayout>
      </c:layout>
      <c:spPr>
        <a:solidFill>
          <a:schemeClr val="bg1"/>
        </a:solidFill>
      </c:sp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r>
              <a:rPr lang="en-US">
                <a:latin typeface="Times New Roman" pitchFamily="18" charset="0"/>
                <a:cs typeface="Times New Roman" pitchFamily="18" charset="0"/>
              </a:rPr>
              <a:t>Noxon Reservoir Fall Gillnet CPUE</a:t>
            </a:r>
          </a:p>
        </c:rich>
      </c:tx>
      <c:layout>
        <c:manualLayout>
          <c:xMode val="edge"/>
          <c:yMode val="edge"/>
          <c:x val="0.19217729995289054"/>
          <c:y val="7.6108396312270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4868429907800061E-2"/>
          <c:y val="6.5796628602501503E-2"/>
          <c:w val="0.90032202705431053"/>
          <c:h val="0.84121805328983223"/>
        </c:manualLayout>
      </c:layout>
      <c:barChart>
        <c:barDir val="col"/>
        <c:grouping val="clustered"/>
        <c:ser>
          <c:idx val="0"/>
          <c:order val="0"/>
          <c:tx>
            <c:strRef>
              <c:f>'trend numbers'!$A$36</c:f>
              <c:strCache>
                <c:ptCount val="1"/>
                <c:pt idx="0">
                  <c:v>Walleye</c:v>
                </c:pt>
              </c:strCache>
            </c:strRef>
          </c:tx>
          <c:spPr>
            <a:ln w="28575">
              <a:noFill/>
            </a:ln>
          </c:spP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3905487341274354"/>
                  <c:y val="-1.9929180956784989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Arial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'trend numbers'!$B$35:$P$35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'trend numbers'!$B$36:$P$36</c:f>
              <c:numCache>
                <c:formatCode>General</c:formatCode>
                <c:ptCount val="15"/>
                <c:pt idx="0" formatCode="0.00">
                  <c:v>3.0000000000000002E-2</c:v>
                </c:pt>
                <c:pt idx="2" formatCode="0.00">
                  <c:v>0.2</c:v>
                </c:pt>
                <c:pt idx="3" formatCode="0.00">
                  <c:v>0.4</c:v>
                </c:pt>
                <c:pt idx="4" formatCode="0.00">
                  <c:v>0.30000000000000016</c:v>
                </c:pt>
                <c:pt idx="5" formatCode="0.00">
                  <c:v>0.8</c:v>
                </c:pt>
                <c:pt idx="6" formatCode="0.00">
                  <c:v>0.5</c:v>
                </c:pt>
                <c:pt idx="7" formatCode="0.00">
                  <c:v>0.13</c:v>
                </c:pt>
                <c:pt idx="8" formatCode="0.00">
                  <c:v>0.60000000000000031</c:v>
                </c:pt>
                <c:pt idx="9" formatCode="0.00">
                  <c:v>0.4</c:v>
                </c:pt>
                <c:pt idx="10" formatCode="0.00">
                  <c:v>0.9</c:v>
                </c:pt>
                <c:pt idx="11" formatCode="0.00">
                  <c:v>1.5</c:v>
                </c:pt>
                <c:pt idx="12" formatCode="0.00">
                  <c:v>1</c:v>
                </c:pt>
                <c:pt idx="13" formatCode="0.00">
                  <c:v>1.7241379310344827</c:v>
                </c:pt>
                <c:pt idx="14" formatCode="0.00">
                  <c:v>1.6</c:v>
                </c:pt>
              </c:numCache>
            </c:numRef>
          </c:val>
        </c:ser>
        <c:axId val="61372288"/>
        <c:axId val="61386752"/>
      </c:barChart>
      <c:catAx>
        <c:axId val="61372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Year</a:t>
                </a:r>
              </a:p>
            </c:rich>
          </c:tx>
          <c:layout>
            <c:manualLayout>
              <c:xMode val="edge"/>
              <c:yMode val="edge"/>
              <c:x val="0.48131705512393635"/>
              <c:y val="0.9510603588907015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en-US"/>
          </a:p>
        </c:txPr>
        <c:crossAx val="61386752"/>
        <c:crosses val="autoZero"/>
        <c:auto val="1"/>
        <c:lblAlgn val="ctr"/>
        <c:lblOffset val="100"/>
        <c:tickMarkSkip val="1"/>
      </c:catAx>
      <c:valAx>
        <c:axId val="61386752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Mean Fish per Net</a:t>
                </a:r>
              </a:p>
            </c:rich>
          </c:tx>
          <c:layout>
            <c:manualLayout>
              <c:xMode val="edge"/>
              <c:yMode val="edge"/>
              <c:x val="3.661585571034394E-3"/>
              <c:y val="0.37411639892375292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en-US"/>
          </a:p>
        </c:txPr>
        <c:crossAx val="613722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537920828708911"/>
          <c:y val="8.8091353996737537E-2"/>
          <c:w val="0.15752133092131537"/>
          <c:h val="3.5291689680714916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CF4005</dc:creator>
  <cp:lastModifiedBy>CF4005</cp:lastModifiedBy>
  <cp:revision>6</cp:revision>
  <dcterms:created xsi:type="dcterms:W3CDTF">2014-11-14T17:44:00Z</dcterms:created>
  <dcterms:modified xsi:type="dcterms:W3CDTF">2014-11-14T21:04:00Z</dcterms:modified>
</cp:coreProperties>
</file>